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6840" w:h="11910" w:orient="landscape"/>
          <w:pgMar w:top="320" w:bottom="280" w:left="700" w:right="600"/>
        </w:sectPr>
      </w:pPr>
    </w:p>
    <w:p>
      <w:pPr>
        <w:pStyle w:val="BodyText"/>
        <w:spacing w:before="93"/>
        <w:ind w:left="5754"/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-408077</wp:posOffset>
            </wp:positionV>
            <wp:extent cx="1962785" cy="71882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Bilag 9.1 | Dagsorden for opstart- og sikkerhedsmøder -</w:t>
      </w:r>
    </w:p>
    <w:p>
      <w:pPr>
        <w:spacing w:before="93"/>
        <w:ind w:left="740" w:right="0" w:firstLine="0"/>
        <w:jc w:val="left"/>
        <w:rPr>
          <w:rFonts w:ascii="Arial"/>
          <w:sz w:val="22"/>
        </w:rPr>
      </w:pPr>
      <w:r>
        <w:rPr/>
        <w:br w:type="column"/>
      </w:r>
      <w:r>
        <w:rPr>
          <w:rFonts w:ascii="Arial"/>
          <w:color w:val="808080"/>
          <w:sz w:val="22"/>
        </w:rPr>
        <w:t>Klik her for at angive tekst.</w:t>
      </w:r>
    </w:p>
    <w:p>
      <w:pPr>
        <w:spacing w:before="4"/>
        <w:ind w:left="1726" w:right="0" w:firstLine="0"/>
        <w:jc w:val="left"/>
        <w:rPr>
          <w:rFonts w:ascii="Arial"/>
          <w:sz w:val="22"/>
        </w:rPr>
      </w:pPr>
      <w:r>
        <w:rPr/>
        <w:pict>
          <v:group style="position:absolute;margin-left:617.049988pt;margin-top:-14.642148pt;width:48.3pt;height:14.55pt;mso-position-horizontal-relative:page;mso-position-vertical-relative:paragraph;z-index:1072" coordorigin="12341,-293" coordsize="966,291">
            <v:shape style="position:absolute;left:12351;top:-283;width:944;height:270" coordorigin="12352,-282" coordsize="944,270" path="m13296,-282l12397,-282,12390,-275,12390,-272,12385,-268,12385,-265,12383,-263,12383,-260,12378,-256,12378,-253,12376,-251,12376,-248,12373,-246,12373,-244,12371,-241,12371,-236,12369,-234,12369,-232,12366,-229,12366,-224,12364,-222,12364,-217,12361,-215,12361,-210,12359,-208,12359,-200,12357,-198,12357,-188,12354,-186,12354,-172,12352,-169,12352,-126,12354,-124,12354,-109,12357,-107,12357,-97,12359,-95,12359,-88,12361,-85,12361,-80,12364,-78,12364,-73,12366,-71,12366,-66,12369,-64,12369,-61,12371,-59,12371,-54,12373,-51,12373,-49,12376,-46,12376,-44,12378,-42,12378,-39,12383,-34,12383,-32,12385,-30,12385,-27,12390,-22,12390,-20,12397,-13,13296,-13,13288,-20,13288,-22,13284,-27,13284,-30,13281,-32,13281,-34,13276,-39,13276,-42,13274,-44,13274,-46,13272,-49,13272,-51,13269,-54,13269,-59,13267,-61,13267,-64,13264,-66,13264,-71,13262,-73,13262,-78,13260,-80,13260,-85,13257,-88,13257,-95,13255,-97,13255,-107,13252,-109,13252,-124,13250,-126,13250,-169,13252,-172,13252,-186,13255,-188,13255,-198,13257,-200,13257,-208,13260,-210,13260,-215,13262,-217,13262,-222,13264,-224,13264,-229,13267,-232,13267,-234,13269,-236,13269,-241,13272,-244,13272,-246,13274,-248,13274,-251,13276,-253,13276,-256,13281,-260,13281,-263,13284,-265,13284,-268,13288,-272,13288,-275,13296,-282xe" filled="true" fillcolor="#ffcccc" stroked="false">
              <v:path arrowok="t"/>
              <v:fill type="solid"/>
            </v:shape>
            <v:shape style="position:absolute;left:12351;top:-283;width:944;height:270" coordorigin="12352,-282" coordsize="944,270" path="m12397,-13l12395,-15,12393,-18,12390,-20,12390,-22,12388,-25,12385,-27,12385,-30,12383,-32,12383,-34,12381,-37,12378,-39,12378,-42,12376,-44,12376,-46,12373,-49,12373,-51,12371,-54,12371,-56,12371,-59,12369,-61,12369,-64,12366,-66,12366,-68,12366,-71,12364,-73,12364,-76,12364,-78,12361,-80,12361,-83,12361,-85,12359,-88,12359,-90,12359,-92,12359,-95,12357,-97,12357,-100,12357,-102,12357,-104,12357,-107,12354,-109,12354,-124,12352,-126,12352,-169,12354,-172,12354,-186,12357,-188,12357,-191,12357,-193,12357,-196,12357,-198,12359,-200,12359,-203,12359,-205,12359,-208,12361,-210,12361,-212,12361,-215,12364,-217,12364,-220,12364,-222,12366,-224,12366,-227,12366,-229,12369,-232,12369,-234,12371,-236,12371,-239,12371,-241,12373,-244,12373,-246,12376,-248,12376,-251,12378,-253,12378,-256,12381,-258,12383,-260,12383,-263,12385,-265,12385,-268,12388,-270,12390,-272,12390,-275,12393,-277,12395,-280,12397,-282,13296,-282,13293,-280,13291,-277,13288,-275,13288,-272,13286,-270,13284,-268,13284,-265,13281,-263,13281,-260,13279,-258,13276,-256,13276,-253,13274,-251,13274,-248,13272,-246,13272,-244,13269,-241,13269,-239,13269,-236,13267,-234,13267,-232,13264,-229,13264,-227,13264,-224,13262,-222,13262,-220,13262,-217,13260,-215,13260,-212,13260,-210,13257,-208,13257,-205,13257,-203,13257,-200,13255,-198,13255,-196,13255,-193,13255,-191,13255,-188,13252,-186,13252,-172,13250,-169,13250,-126,13252,-124,13252,-109,13255,-107,13255,-104,13255,-102,13255,-100,13255,-97,13257,-95,13257,-92,13257,-90,13257,-88,13260,-85,13260,-83,13260,-80,13262,-78,13262,-76,13262,-73,13264,-71,13264,-68,13264,-66,13267,-64,13267,-61,13269,-59,13269,-56,13269,-54,13272,-51,13272,-49,13274,-46,13274,-44,13276,-42,13276,-39,13279,-37,13281,-34,13281,-32,13284,-30,13284,-27,13286,-25,13288,-22,13288,-20,13291,-18,13293,-15,13296,-13,12397,-13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68;top:-272;width:882;height:248" type="#_x0000_t202" filled="false" stroked="false">
              <v:textbox inset="0,0,0,0">
                <w:txbxContent>
                  <w:p>
                    <w:pPr>
                      <w:spacing w:before="4"/>
                      <w:ind w:left="118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10083292</wp:posOffset>
            </wp:positionH>
            <wp:positionV relativeFrom="paragraph">
              <wp:posOffset>-185955</wp:posOffset>
            </wp:positionV>
            <wp:extent cx="138937" cy="18465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7" cy="184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2"/>
        </w:rPr>
        <w:t>Dato: 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20XX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6840" w:h="11910" w:orient="landscape"/>
          <w:pgMar w:top="320" w:bottom="280" w:left="700" w:right="600"/>
          <w:cols w:num="2" w:equalWidth="0">
            <w:col w:w="11631" w:space="227"/>
            <w:col w:w="3682"/>
          </w:cols>
        </w:sectPr>
      </w:pPr>
    </w:p>
    <w:p>
      <w:pPr>
        <w:pStyle w:val="BodyText"/>
        <w:spacing w:before="7"/>
        <w:rPr>
          <w:b w:val="0"/>
          <w:sz w:val="15"/>
        </w:rPr>
      </w:pPr>
    </w:p>
    <w:tbl>
      <w:tblPr>
        <w:tblW w:w="0" w:type="auto"/>
        <w:jc w:val="left"/>
        <w:tblInd w:w="13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5192"/>
        <w:gridCol w:w="5012"/>
        <w:gridCol w:w="1133"/>
        <w:gridCol w:w="1702"/>
      </w:tblGrid>
      <w:tr>
        <w:trPr>
          <w:trHeight w:val="522" w:hRule="atLeast"/>
        </w:trPr>
        <w:tc>
          <w:tcPr>
            <w:tcW w:w="15219" w:type="dxa"/>
            <w:gridSpan w:val="5"/>
            <w:tcBorders>
              <w:bottom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159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9.1 Dagsorden for opstarts- og sikkerhedsmøder</w:t>
            </w:r>
          </w:p>
        </w:tc>
      </w:tr>
      <w:tr>
        <w:trPr>
          <w:trHeight w:val="366" w:hRule="atLeast"/>
        </w:trPr>
        <w:tc>
          <w:tcPr>
            <w:tcW w:w="21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Dato: XX/XX 20XX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Referent: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Referat: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Ansvarlig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Tidsfrist</w:t>
            </w:r>
          </w:p>
        </w:tc>
      </w:tr>
      <w:tr>
        <w:trPr>
          <w:trHeight w:val="443" w:hRule="atLeast"/>
        </w:trPr>
        <w:tc>
          <w:tcPr>
            <w:tcW w:w="21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Pkt.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Dagsorden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82" w:hRule="atLeast"/>
        </w:trPr>
        <w:tc>
          <w:tcPr>
            <w:tcW w:w="21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8" w:right="370"/>
              <w:rPr>
                <w:b/>
                <w:sz w:val="16"/>
              </w:rPr>
            </w:pPr>
            <w:r>
              <w:rPr>
                <w:b/>
                <w:sz w:val="16"/>
              </w:rPr>
              <w:t>Mødedeltagere og fraværende (noteres til referat og udsendelse)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49" w:hRule="atLeast"/>
        </w:trPr>
        <w:tc>
          <w:tcPr>
            <w:tcW w:w="21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41"/>
              <w:ind w:left="68" w:right="1723"/>
              <w:rPr>
                <w:sz w:val="14"/>
              </w:rPr>
            </w:pPr>
            <w:r>
              <w:rPr>
                <w:b/>
                <w:sz w:val="16"/>
              </w:rPr>
              <w:t>Opfølgning fra sidste møde </w:t>
            </w:r>
            <w:r>
              <w:rPr>
                <w:sz w:val="14"/>
              </w:rPr>
              <w:t>Kommentarer og godkendelse af referat Vurdering af og udvikling i byggeprocessen</w:t>
            </w:r>
          </w:p>
          <w:p>
            <w:pPr>
              <w:pStyle w:val="TableParagraph"/>
              <w:spacing w:line="154" w:lineRule="exact"/>
              <w:ind w:left="68"/>
              <w:rPr>
                <w:sz w:val="14"/>
              </w:rPr>
            </w:pPr>
            <w:r>
              <w:rPr>
                <w:sz w:val="14"/>
              </w:rPr>
              <w:t>Oplysninger fra arbejdsmiljøkoordinator(bygherre)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06" w:hRule="atLeast"/>
        </w:trPr>
        <w:tc>
          <w:tcPr>
            <w:tcW w:w="21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Udvikling i arbejdsmiljøet</w:t>
            </w:r>
          </w:p>
          <w:p>
            <w:pPr>
              <w:pStyle w:val="TableParagraph"/>
              <w:spacing w:before="36"/>
              <w:ind w:left="68" w:right="370"/>
              <w:rPr>
                <w:sz w:val="14"/>
              </w:rPr>
            </w:pPr>
            <w:r>
              <w:rPr>
                <w:sz w:val="14"/>
              </w:rPr>
              <w:t>Orientering om aktiviteter og initiativer siden sidste møde Orientering om kommende aktiviteter</w:t>
            </w:r>
          </w:p>
          <w:p>
            <w:pPr>
              <w:pStyle w:val="TableParagraph"/>
              <w:spacing w:before="1"/>
              <w:ind w:left="68"/>
              <w:rPr>
                <w:sz w:val="14"/>
              </w:rPr>
            </w:pPr>
            <w:r>
              <w:rPr>
                <w:sz w:val="14"/>
              </w:rPr>
              <w:t>Særlige farlige aktiviteter</w:t>
            </w:r>
          </w:p>
          <w:p>
            <w:pPr>
              <w:pStyle w:val="TableParagraph"/>
              <w:ind w:left="68" w:right="370"/>
              <w:rPr>
                <w:sz w:val="14"/>
              </w:rPr>
            </w:pPr>
            <w:r>
              <w:rPr>
                <w:sz w:val="14"/>
              </w:rPr>
              <w:t>Koordinering af arbejde i fællesområder, der har indflydelse på sikkerhed og sundhed</w:t>
            </w:r>
          </w:p>
          <w:p>
            <w:pPr>
              <w:pStyle w:val="TableParagraph"/>
              <w:ind w:left="68" w:right="508"/>
              <w:rPr>
                <w:sz w:val="14"/>
              </w:rPr>
            </w:pPr>
            <w:r>
              <w:rPr>
                <w:sz w:val="14"/>
              </w:rPr>
              <w:t>Kommentarer og ajourføring til PSS, tids- og bemandingsplan og byggepladsens oversigtstegning</w:t>
            </w:r>
          </w:p>
          <w:p>
            <w:pPr>
              <w:pStyle w:val="TableParagraph"/>
              <w:spacing w:line="170" w:lineRule="atLeast"/>
              <w:ind w:left="68" w:right="768"/>
              <w:rPr>
                <w:sz w:val="14"/>
              </w:rPr>
            </w:pPr>
            <w:r>
              <w:rPr>
                <w:sz w:val="14"/>
              </w:rPr>
              <w:t>Anmeldte arbejdsulykker og ulykkesanalysens resultater Tilløb til uheld og vurdering heraf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54" w:hRule="atLeast"/>
        </w:trPr>
        <w:tc>
          <w:tcPr>
            <w:tcW w:w="21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Forebyggelsesaktiviteter</w:t>
            </w:r>
          </w:p>
          <w:p>
            <w:pPr>
              <w:pStyle w:val="TableParagraph"/>
              <w:spacing w:before="39"/>
              <w:ind w:left="68"/>
              <w:rPr>
                <w:sz w:val="14"/>
              </w:rPr>
            </w:pPr>
            <w:r>
              <w:rPr>
                <w:sz w:val="14"/>
              </w:rPr>
              <w:t>Forebyggelsesinitiativer i henhold til ulykkesanalyse Forebyggelsesinitiativer i henhold til tilløb til uheld</w:t>
            </w:r>
          </w:p>
          <w:p>
            <w:pPr>
              <w:pStyle w:val="TableParagraph"/>
              <w:spacing w:line="170" w:lineRule="exact" w:before="3"/>
              <w:ind w:left="68" w:right="508"/>
              <w:rPr>
                <w:sz w:val="14"/>
              </w:rPr>
            </w:pPr>
            <w:r>
              <w:rPr>
                <w:sz w:val="14"/>
              </w:rPr>
              <w:t>Nye initiativer til forebyggelse af ulykker og nedslidning Vurdering af behov for instruktion og information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49" w:hRule="atLeast"/>
        </w:trPr>
        <w:tc>
          <w:tcPr>
            <w:tcW w:w="21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Myndigheder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m.fl.</w:t>
            </w:r>
          </w:p>
          <w:p>
            <w:pPr>
              <w:pStyle w:val="TableParagraph"/>
              <w:spacing w:before="39"/>
              <w:ind w:left="68"/>
              <w:rPr>
                <w:sz w:val="14"/>
              </w:rPr>
            </w:pPr>
            <w:r>
              <w:rPr>
                <w:sz w:val="14"/>
              </w:rPr>
              <w:t>Nye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arbejdsmiljøregler</w:t>
            </w:r>
          </w:p>
          <w:p>
            <w:pPr>
              <w:pStyle w:val="TableParagraph"/>
              <w:spacing w:before="1"/>
              <w:ind w:left="68" w:right="2457"/>
              <w:rPr>
                <w:sz w:val="14"/>
              </w:rPr>
            </w:pPr>
            <w:r>
              <w:rPr>
                <w:sz w:val="14"/>
              </w:rPr>
              <w:t>Påbud eller forbud fra Arbejdstilsynet Nyt fra evt. arbejdsmiljørådgiver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0" w:hRule="atLeast"/>
        </w:trPr>
        <w:tc>
          <w:tcPr>
            <w:tcW w:w="21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Eventuelt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218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Næste møde og indkaldelse af nye mødedeltagere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11"/>
        </w:rPr>
      </w:pPr>
    </w:p>
    <w:tbl>
      <w:tblPr>
        <w:tblW w:w="0" w:type="auto"/>
        <w:jc w:val="left"/>
        <w:tblInd w:w="17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3"/>
        <w:gridCol w:w="8017"/>
      </w:tblGrid>
      <w:tr>
        <w:trPr>
          <w:trHeight w:val="332" w:hRule="atLeast"/>
        </w:trPr>
        <w:tc>
          <w:tcPr>
            <w:tcW w:w="7153" w:type="dxa"/>
            <w:tcBorders>
              <w:left w:val="single" w:sz="12" w:space="0" w:color="000000"/>
              <w:right w:val="single" w:sz="6" w:space="0" w:color="000000"/>
            </w:tcBorders>
            <w:shd w:val="clear" w:color="auto" w:fill="E4E4E4"/>
          </w:tcPr>
          <w:p>
            <w:pPr>
              <w:pStyle w:val="TableParagraph"/>
              <w:spacing w:before="50"/>
              <w:ind w:left="10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Regelgrundlag, vejledning og gode råd</w:t>
            </w:r>
          </w:p>
        </w:tc>
        <w:tc>
          <w:tcPr>
            <w:tcW w:w="8017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E4E4E4"/>
          </w:tcPr>
          <w:p>
            <w:pPr>
              <w:pStyle w:val="TableParagraph"/>
              <w:spacing w:before="50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Vejledning og gode råd</w:t>
            </w:r>
          </w:p>
        </w:tc>
      </w:tr>
      <w:tr>
        <w:trPr>
          <w:trHeight w:val="562" w:hRule="atLeast"/>
        </w:trPr>
        <w:tc>
          <w:tcPr>
            <w:tcW w:w="7153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07" w:right="28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1.Dagsordenen kan anvendes af arbejdsmiljøkoordinator til at sikre at alle punkter bliver gennemgået. Dagsordenen kan anvendes af fag- eller underentreprenører, som en huskeseddel inden sikkerhedsmødet.</w:t>
            </w:r>
          </w:p>
        </w:tc>
        <w:tc>
          <w:tcPr>
            <w:tcW w:w="8017" w:type="dxa"/>
            <w:tcBorders>
              <w:left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6" w:val="left" w:leader="none"/>
              </w:tabs>
              <w:spacing w:line="240" w:lineRule="auto" w:before="3" w:after="0"/>
              <w:ind w:left="112" w:right="381" w:firstLine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Dagsordenen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kan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med</w:t>
            </w:r>
            <w:r>
              <w:rPr>
                <w:rFonts w:ascii="Times New Roman" w:hAnsi="Times New Roman"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fordel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anvendes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ved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opstartsmøder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og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sikkerhedsmøder</w:t>
            </w:r>
            <w:r>
              <w:rPr>
                <w:rFonts w:ascii="Times New Roman" w:hAnsi="Times New Roman"/>
                <w:spacing w:val="-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på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mindre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eller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større</w:t>
            </w:r>
            <w:r>
              <w:rPr>
                <w:rFonts w:ascii="Times New Roman" w:hAnsi="Times New Roman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byggepladser, også hvor der ikke er krav om udarbejdelse af en</w:t>
            </w:r>
            <w:r>
              <w:rPr>
                <w:rFonts w:ascii="Times New Roman" w:hAnsi="Times New Roman"/>
                <w:spacing w:val="-1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PSS.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6" w:val="left" w:leader="none"/>
              </w:tabs>
              <w:spacing w:line="171" w:lineRule="exact" w:before="0" w:after="0"/>
              <w:ind w:left="235" w:right="0" w:hanging="123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Denne dagsorden kan ændres eller opbygges efter byggepladsens eller arbejdsopgavens</w:t>
            </w:r>
            <w:r>
              <w:rPr>
                <w:rFonts w:ascii="Times New Roman" w:hAnsi="Times New Roman"/>
                <w:spacing w:val="-18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behov.</w:t>
            </w:r>
          </w:p>
        </w:tc>
      </w:tr>
    </w:tbl>
    <w:sectPr>
      <w:type w:val="continuous"/>
      <w:pgSz w:w="16840" w:h="11910" w:orient="landscape"/>
      <w:pgMar w:top="320" w:bottom="280" w:left="7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12" w:hanging="123"/>
        <w:jc w:val="left"/>
      </w:pPr>
      <w:rPr>
        <w:rFonts w:hint="default" w:ascii="Times New Roman" w:hAnsi="Times New Roman" w:eastAsia="Times New Roman" w:cs="Times New Roman"/>
        <w:w w:val="100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907" w:hanging="123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1694" w:hanging="123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2482" w:hanging="123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269" w:hanging="123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4057" w:hanging="123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4844" w:hanging="123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5632" w:hanging="123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6419" w:hanging="123"/>
      </w:pPr>
      <w:rPr>
        <w:rFonts w:hint="default"/>
        <w:lang w:val="da-DY" w:eastAsia="da-DY" w:bidi="da-DY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2019-06-21T08:35:20Z</dcterms:created>
  <dcterms:modified xsi:type="dcterms:W3CDTF">2019-06-21T08:35:20Z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